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  <w:proofErr w:type="gramStart"/>
      <w:r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  <w:t>REQUISITOS :</w:t>
      </w:r>
      <w:proofErr w:type="gramEnd"/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Pr="00047266" w:rsidRDefault="00047266" w:rsidP="00047266">
      <w:pPr>
        <w:shd w:val="clear" w:color="auto" w:fill="FFFFFF"/>
        <w:jc w:val="left"/>
        <w:rPr>
          <w:rFonts w:eastAsia="Times New Roman"/>
          <w:caps/>
          <w:color w:val="D92B12"/>
          <w:sz w:val="17"/>
          <w:szCs w:val="17"/>
          <w:lang w:eastAsia="es-PE"/>
        </w:rPr>
      </w:pPr>
      <w:hyperlink r:id="rId5" w:tgtFrame="_self" w:tooltip="Servicio de Administración Tributaria" w:history="1">
        <w:r w:rsidRPr="00047266">
          <w:rPr>
            <w:rFonts w:eastAsia="Times New Roman"/>
            <w:caps/>
            <w:color w:val="006FB7"/>
            <w:sz w:val="17"/>
            <w:lang w:eastAsia="es-PE"/>
          </w:rPr>
          <w:t>SAT</w:t>
        </w:r>
      </w:hyperlink>
      <w:r w:rsidRPr="00047266">
        <w:rPr>
          <w:rFonts w:eastAsia="Times New Roman"/>
          <w:caps/>
          <w:color w:val="D92B12"/>
          <w:sz w:val="17"/>
          <w:lang w:eastAsia="es-PE"/>
        </w:rPr>
        <w:t> </w:t>
      </w:r>
      <w:r w:rsidRPr="00047266">
        <w:rPr>
          <w:rFonts w:eastAsia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eastAsia="Times New Roman"/>
          <w:caps/>
          <w:color w:val="D92B12"/>
          <w:sz w:val="17"/>
          <w:lang w:eastAsia="es-PE"/>
        </w:rPr>
        <w:t> </w:t>
      </w:r>
      <w:hyperlink r:id="rId6" w:tgtFrame="_self" w:history="1">
        <w:r w:rsidRPr="00047266">
          <w:rPr>
            <w:rFonts w:eastAsia="Times New Roman"/>
            <w:caps/>
            <w:color w:val="006FB7"/>
            <w:sz w:val="17"/>
            <w:lang w:eastAsia="es-PE"/>
          </w:rPr>
          <w:t>FICHAS TEMÁTICAS</w:t>
        </w:r>
      </w:hyperlink>
      <w:r w:rsidRPr="00047266">
        <w:rPr>
          <w:rFonts w:eastAsia="Times New Roman"/>
          <w:caps/>
          <w:color w:val="D92B12"/>
          <w:sz w:val="17"/>
          <w:lang w:eastAsia="es-PE"/>
        </w:rPr>
        <w:t> </w:t>
      </w:r>
      <w:r w:rsidRPr="00047266">
        <w:rPr>
          <w:rFonts w:eastAsia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eastAsia="Times New Roman"/>
          <w:caps/>
          <w:color w:val="D92B12"/>
          <w:sz w:val="17"/>
          <w:lang w:eastAsia="es-PE"/>
        </w:rPr>
        <w:t> </w:t>
      </w:r>
      <w:hyperlink r:id="rId7" w:tgtFrame="_self" w:tooltip="Estímulos fiscales para patrones que contraten a adultos mayores y personas con discapacidad" w:history="1">
        <w:r w:rsidRPr="00047266">
          <w:rPr>
            <w:rFonts w:eastAsia="Times New Roman"/>
            <w:caps/>
            <w:color w:val="006FB7"/>
            <w:sz w:val="17"/>
            <w:lang w:eastAsia="es-PE"/>
          </w:rPr>
          <w:t>ESTÍMULOS FISCALES PARA PATRONES QUE CONTRATEN A ADULTOS MAYORES Y PERSONAS CON DISCAPACIDAD</w:t>
        </w:r>
      </w:hyperlink>
      <w:r w:rsidRPr="00047266">
        <w:rPr>
          <w:rFonts w:eastAsia="Times New Roman"/>
          <w:caps/>
          <w:color w:val="D92B12"/>
          <w:sz w:val="17"/>
          <w:lang w:eastAsia="es-PE"/>
        </w:rPr>
        <w:t> </w:t>
      </w:r>
      <w:r w:rsidRPr="00047266">
        <w:rPr>
          <w:rFonts w:eastAsia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eastAsia="Times New Roman"/>
          <w:caps/>
          <w:color w:val="D92B12"/>
          <w:sz w:val="17"/>
          <w:lang w:eastAsia="es-PE"/>
        </w:rPr>
        <w:t>DEDUCCIÓN ADICIONAL DE 25% DEL SALARIO EFECTIVAMENTE PAGADO Y REQUISITOS PARA APLICAR ESTE ESTÍMULO</w:t>
      </w:r>
    </w:p>
    <w:p w:rsidR="00047266" w:rsidRPr="00047266" w:rsidRDefault="00047266" w:rsidP="00047266">
      <w:pPr>
        <w:shd w:val="clear" w:color="auto" w:fill="FFFFFF"/>
        <w:jc w:val="left"/>
        <w:rPr>
          <w:rFonts w:eastAsia="Times New Roman"/>
          <w:color w:val="737576"/>
          <w:sz w:val="17"/>
          <w:szCs w:val="17"/>
          <w:lang w:eastAsia="es-PE"/>
        </w:rPr>
      </w:pP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>
        <w:rPr>
          <w:rFonts w:eastAsia="Times New Roman"/>
          <w:noProof/>
          <w:color w:val="737576"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11" name="Imagen 11" descr="Fuente Peque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uente Pequeñ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>
        <w:rPr>
          <w:rFonts w:eastAsia="Times New Roman"/>
          <w:noProof/>
          <w:color w:val="737576"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12" name="Imagen 12" descr="Fuente Med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uente Media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</w:t>
      </w:r>
      <w:r>
        <w:rPr>
          <w:rFonts w:eastAsia="Times New Roman"/>
          <w:noProof/>
          <w:color w:val="737576"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13" name="Imagen 13" descr="Fuente Gra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uente Grand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                 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hyperlink r:id="rId11" w:tgtFrame="_self" w:tooltip="Imprimir" w:history="1">
        <w:r>
          <w:rPr>
            <w:rFonts w:eastAsia="Times New Roman"/>
            <w:noProof/>
            <w:color w:val="006FB7"/>
            <w:sz w:val="17"/>
            <w:szCs w:val="17"/>
            <w:lang w:eastAsia="es-PE"/>
          </w:rPr>
          <w:drawing>
            <wp:inline distT="0" distB="0" distL="0" distR="0">
              <wp:extent cx="142875" cy="180975"/>
              <wp:effectExtent l="19050" t="0" r="9525" b="0"/>
              <wp:docPr id="14" name="Imagen 14" descr="Imprimir">
                <a:hlinkClick xmlns:a="http://schemas.openxmlformats.org/drawingml/2006/main" r:id="rId11" tgtFrame="&quot;_self&quot;" tooltip="&quot;Imprimir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Imprimir">
                        <a:hlinkClick r:id="rId11" tgtFrame="&quot;_self&quot;" tooltip="&quot;Imprimir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047266">
          <w:rPr>
            <w:rFonts w:eastAsia="Times New Roman"/>
            <w:color w:val="006FB7"/>
            <w:sz w:val="17"/>
            <w:lang w:eastAsia="es-PE"/>
          </w:rPr>
          <w:t>  Imprimir</w:t>
        </w:r>
      </w:hyperlink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           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>
        <w:rPr>
          <w:rFonts w:eastAsia="Times New Roman"/>
          <w:noProof/>
          <w:color w:val="006FB7"/>
          <w:sz w:val="17"/>
          <w:szCs w:val="17"/>
          <w:lang w:eastAsia="es-PE"/>
        </w:rPr>
        <w:drawing>
          <wp:inline distT="0" distB="0" distL="0" distR="0">
            <wp:extent cx="238125" cy="190500"/>
            <wp:effectExtent l="0" t="0" r="0" b="0"/>
            <wp:docPr id="15" name="Imagen 15" descr="http://www.sat.gob.mx/PublishingImages/24x24_facebook.png">
              <a:hlinkClick xmlns:a="http://schemas.openxmlformats.org/drawingml/2006/main" r:id="rId13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at.gob.mx/PublishingImages/24x24_facebook.png">
                      <a:hlinkClick r:id="rId13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eastAsia="Times New Roman"/>
          <w:color w:val="737576"/>
          <w:sz w:val="17"/>
          <w:lang w:eastAsia="es-PE"/>
        </w:rPr>
        <w:t> </w:t>
      </w:r>
      <w:r w:rsidRPr="00047266">
        <w:rPr>
          <w:rFonts w:eastAsia="Times New Roman"/>
          <w:color w:val="737576"/>
          <w:sz w:val="17"/>
          <w:szCs w:val="17"/>
          <w:lang w:eastAsia="es-PE"/>
        </w:rPr>
        <w:t>      </w:t>
      </w:r>
      <w:r w:rsidRPr="00047266">
        <w:rPr>
          <w:rFonts w:eastAsia="Times New Roman"/>
          <w:color w:val="737576"/>
          <w:sz w:val="17"/>
          <w:lang w:eastAsia="es-PE"/>
        </w:rPr>
        <w:t> </w:t>
      </w:r>
    </w:p>
    <w:p w:rsidR="00047266" w:rsidRPr="00047266" w:rsidRDefault="00047266" w:rsidP="00047266">
      <w:pPr>
        <w:shd w:val="clear" w:color="auto" w:fill="FFFFFF"/>
        <w:jc w:val="left"/>
        <w:rPr>
          <w:rFonts w:eastAsia="Times New Roman"/>
          <w:caps/>
          <w:color w:val="006FB7"/>
          <w:sz w:val="26"/>
          <w:szCs w:val="26"/>
          <w:lang w:eastAsia="es-PE"/>
        </w:rPr>
      </w:pPr>
      <w:r w:rsidRPr="00047266">
        <w:rPr>
          <w:rFonts w:eastAsia="Times New Roman"/>
          <w:caps/>
          <w:color w:val="006FB7"/>
          <w:sz w:val="26"/>
          <w:szCs w:val="26"/>
          <w:lang w:eastAsia="es-PE"/>
        </w:rPr>
        <w:t>DEDUCCIÓN ADICIONAL DE 25% DEL SALARIO EFECTIVAMENTE PAGADO Y REQUISITOS PARA APLICAR ESTE ESTÍMULO</w:t>
      </w:r>
    </w:p>
    <w:p w:rsidR="00047266" w:rsidRPr="00047266" w:rsidRDefault="00047266" w:rsidP="00047266">
      <w:pPr>
        <w:shd w:val="clear" w:color="auto" w:fill="FFFFFF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Este estímulo consiste en deducir de los ingresos acumulables un monto equivalente al 25% del salario que sirvió de base para calcular las retenciones del ISR. </w:t>
      </w:r>
      <w:r w:rsidRPr="00047266">
        <w:rPr>
          <w:rFonts w:eastAsia="Times New Roman"/>
          <w:color w:val="2F2F2F"/>
          <w:sz w:val="23"/>
          <w:szCs w:val="23"/>
          <w:lang w:eastAsia="es-PE"/>
        </w:rPr>
        <w:br/>
      </w:r>
      <w:r w:rsidRPr="00047266">
        <w:rPr>
          <w:rFonts w:eastAsia="Times New Roman"/>
          <w:color w:val="2F2F2F"/>
          <w:sz w:val="23"/>
          <w:szCs w:val="23"/>
          <w:lang w:eastAsia="es-PE"/>
        </w:rPr>
        <w:br/>
        <w:t>Por la contratación de personas con discapacidad, quienes apliquen el estímulo del Decreto NO podrán aplicar el estímulo fiscal de la deducción de 100% del ISR retenido a las personas con discapacidad. </w:t>
      </w:r>
      <w:r w:rsidRPr="00047266">
        <w:rPr>
          <w:rFonts w:eastAsia="Times New Roman"/>
          <w:color w:val="2F2F2F"/>
          <w:sz w:val="23"/>
          <w:szCs w:val="23"/>
          <w:lang w:eastAsia="es-PE"/>
        </w:rPr>
        <w:br/>
      </w:r>
      <w:r w:rsidRPr="00047266">
        <w:rPr>
          <w:rFonts w:eastAsia="Times New Roman"/>
          <w:color w:val="2F2F2F"/>
          <w:sz w:val="23"/>
          <w:szCs w:val="23"/>
          <w:lang w:eastAsia="es-PE"/>
        </w:rPr>
        <w:br/>
        <w:t>Está deducción es aplicable cuando se pague a las siguientes personas: </w:t>
      </w:r>
    </w:p>
    <w:p w:rsidR="00047266" w:rsidRPr="00047266" w:rsidRDefault="00047266" w:rsidP="00047266">
      <w:pPr>
        <w:numPr>
          <w:ilvl w:val="0"/>
          <w:numId w:val="1"/>
        </w:numPr>
        <w:shd w:val="clear" w:color="auto" w:fill="FFFFFF"/>
        <w:spacing w:before="100" w:beforeAutospacing="1" w:after="240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De 65 años o más.</w:t>
      </w:r>
    </w:p>
    <w:p w:rsidR="00047266" w:rsidRPr="00047266" w:rsidRDefault="00047266" w:rsidP="00047266">
      <w:pPr>
        <w:numPr>
          <w:ilvl w:val="0"/>
          <w:numId w:val="1"/>
        </w:numPr>
        <w:shd w:val="clear" w:color="auto" w:fill="FFFFFF"/>
        <w:spacing w:before="100" w:beforeAutospacing="1" w:after="240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Con discapacidad motriz , que para superarla requieran usar permanentemente:</w:t>
      </w:r>
    </w:p>
    <w:p w:rsidR="00047266" w:rsidRPr="00047266" w:rsidRDefault="00047266" w:rsidP="00047266">
      <w:pPr>
        <w:numPr>
          <w:ilvl w:val="1"/>
          <w:numId w:val="1"/>
        </w:numPr>
        <w:shd w:val="clear" w:color="auto" w:fill="FFFFFF"/>
        <w:spacing w:before="100" w:beforeAutospacing="1" w:after="240" w:line="264" w:lineRule="atLeast"/>
        <w:ind w:left="48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Prótesis.</w:t>
      </w:r>
    </w:p>
    <w:p w:rsidR="00047266" w:rsidRPr="00047266" w:rsidRDefault="00047266" w:rsidP="00047266">
      <w:pPr>
        <w:numPr>
          <w:ilvl w:val="1"/>
          <w:numId w:val="1"/>
        </w:numPr>
        <w:shd w:val="clear" w:color="auto" w:fill="FFFFFF"/>
        <w:spacing w:before="100" w:beforeAutospacing="1" w:after="240" w:line="264" w:lineRule="atLeast"/>
        <w:ind w:left="48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Muletas.</w:t>
      </w:r>
    </w:p>
    <w:p w:rsidR="00047266" w:rsidRPr="00047266" w:rsidRDefault="00047266" w:rsidP="00047266">
      <w:pPr>
        <w:numPr>
          <w:ilvl w:val="1"/>
          <w:numId w:val="1"/>
        </w:numPr>
        <w:shd w:val="clear" w:color="auto" w:fill="FFFFFF"/>
        <w:spacing w:before="100" w:beforeAutospacing="1" w:after="240" w:line="264" w:lineRule="atLeast"/>
        <w:ind w:left="48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Sillas de ruedas.</w:t>
      </w:r>
    </w:p>
    <w:p w:rsidR="00047266" w:rsidRPr="00047266" w:rsidRDefault="00047266" w:rsidP="00047266">
      <w:pPr>
        <w:numPr>
          <w:ilvl w:val="0"/>
          <w:numId w:val="1"/>
        </w:numPr>
        <w:shd w:val="clear" w:color="auto" w:fill="FFFFFF"/>
        <w:spacing w:before="100" w:beforeAutospacing="1" w:after="240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Con discapacidad mental, auditiva o de lenguaje en un 80%  ó  más, e</w:t>
      </w:r>
    </w:p>
    <w:p w:rsidR="00047266" w:rsidRPr="00047266" w:rsidRDefault="00047266" w:rsidP="000472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Invidentes.</w:t>
      </w:r>
    </w:p>
    <w:p w:rsidR="00047266" w:rsidRPr="00047266" w:rsidRDefault="00047266" w:rsidP="00047266">
      <w:pPr>
        <w:shd w:val="clear" w:color="auto" w:fill="FFFFFF"/>
        <w:spacing w:after="24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br/>
      </w:r>
      <w:r w:rsidRPr="00047266">
        <w:rPr>
          <w:rFonts w:eastAsia="Times New Roman"/>
          <w:b/>
          <w:bCs/>
          <w:color w:val="2F2F2F"/>
          <w:sz w:val="23"/>
          <w:szCs w:val="23"/>
          <w:lang w:eastAsia="es-PE"/>
        </w:rPr>
        <w:t>Requisitos para aplicar este estímulo:</w:t>
      </w:r>
      <w:r w:rsidRPr="00047266">
        <w:rPr>
          <w:rFonts w:eastAsia="Times New Roman"/>
          <w:color w:val="2F2F2F"/>
          <w:sz w:val="23"/>
          <w:szCs w:val="23"/>
          <w:lang w:eastAsia="es-PE"/>
        </w:rPr>
        <w:t> </w:t>
      </w:r>
    </w:p>
    <w:p w:rsidR="00047266" w:rsidRPr="00047266" w:rsidRDefault="00047266" w:rsidP="00047266">
      <w:pPr>
        <w:numPr>
          <w:ilvl w:val="0"/>
          <w:numId w:val="2"/>
        </w:numPr>
        <w:shd w:val="clear" w:color="auto" w:fill="FFFFFF"/>
        <w:spacing w:before="100" w:beforeAutospacing="1" w:after="240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Cumplir con las obligaciones del artículo 15 de la Ley del Seguro Social.</w:t>
      </w:r>
    </w:p>
    <w:p w:rsidR="00047266" w:rsidRPr="00047266" w:rsidRDefault="00047266" w:rsidP="00047266">
      <w:pPr>
        <w:numPr>
          <w:ilvl w:val="0"/>
          <w:numId w:val="2"/>
        </w:numPr>
        <w:shd w:val="clear" w:color="auto" w:fill="FFFFFF"/>
        <w:spacing w:before="100" w:beforeAutospacing="1" w:after="240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Obtener certificado de discapacidad del trabajador expedido por el IMSS.</w:t>
      </w:r>
    </w:p>
    <w:p w:rsidR="00047266" w:rsidRPr="00047266" w:rsidRDefault="00047266" w:rsidP="000472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64" w:lineRule="atLeast"/>
        <w:ind w:left="300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t>Retener y enterar el ISR.</w:t>
      </w:r>
    </w:p>
    <w:p w:rsidR="00047266" w:rsidRPr="00047266" w:rsidRDefault="00047266" w:rsidP="00047266">
      <w:pPr>
        <w:shd w:val="clear" w:color="auto" w:fill="FFFFFF"/>
        <w:jc w:val="both"/>
        <w:rPr>
          <w:rFonts w:eastAsia="Times New Roman"/>
          <w:color w:val="2F2F2F"/>
          <w:sz w:val="23"/>
          <w:szCs w:val="23"/>
          <w:lang w:eastAsia="es-PE"/>
        </w:rPr>
      </w:pPr>
      <w:r w:rsidRPr="00047266">
        <w:rPr>
          <w:rFonts w:eastAsia="Times New Roman"/>
          <w:color w:val="2F2F2F"/>
          <w:sz w:val="23"/>
          <w:szCs w:val="23"/>
          <w:lang w:eastAsia="es-PE"/>
        </w:rPr>
        <w:br/>
      </w:r>
      <w:r w:rsidRPr="00047266">
        <w:rPr>
          <w:rFonts w:eastAsia="Times New Roman"/>
          <w:b/>
          <w:bCs/>
          <w:color w:val="2F2F2F"/>
          <w:sz w:val="23"/>
          <w:szCs w:val="23"/>
          <w:lang w:eastAsia="es-PE"/>
        </w:rPr>
        <w:t>Fundamento:</w:t>
      </w:r>
      <w:r w:rsidRPr="00047266">
        <w:rPr>
          <w:rFonts w:eastAsia="Times New Roman"/>
          <w:color w:val="2F2F2F"/>
          <w:sz w:val="23"/>
          <w:lang w:eastAsia="es-PE"/>
        </w:rPr>
        <w:t> </w:t>
      </w:r>
      <w:r w:rsidRPr="00047266">
        <w:rPr>
          <w:rFonts w:eastAsia="Times New Roman"/>
          <w:color w:val="2F2F2F"/>
          <w:sz w:val="23"/>
          <w:szCs w:val="23"/>
          <w:lang w:eastAsia="es-PE"/>
        </w:rPr>
        <w:t>Artículo 1.5  del Decreto que compila diversos beneficios fiscales y establece medidas de simplificación administrativa, publicado en el DOF el 26 de diciembre de 2013.</w:t>
      </w:r>
    </w:p>
    <w:p w:rsidR="00047266" w:rsidRPr="00047266" w:rsidRDefault="00047266" w:rsidP="00047266">
      <w:pPr>
        <w:shd w:val="clear" w:color="auto" w:fill="FFFFFF"/>
        <w:rPr>
          <w:rFonts w:eastAsia="Times New Roman"/>
          <w:color w:val="BA5112"/>
          <w:sz w:val="15"/>
          <w:szCs w:val="15"/>
          <w:lang w:eastAsia="es-PE"/>
        </w:rPr>
      </w:pPr>
      <w:r w:rsidRPr="00047266">
        <w:rPr>
          <w:rFonts w:eastAsia="Times New Roman"/>
          <w:color w:val="BA5112"/>
          <w:sz w:val="15"/>
          <w:szCs w:val="15"/>
          <w:lang w:eastAsia="es-PE"/>
        </w:rPr>
        <w:t>Última modificación:</w:t>
      </w: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</w:p>
    <w:p w:rsidR="00047266" w:rsidRP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</w:pPr>
      <w:hyperlink r:id="rId15" w:tgtFrame="_self" w:tooltip="Servicio de Administración Tributaria" w:history="1">
        <w:r w:rsidRPr="00047266">
          <w:rPr>
            <w:rFonts w:ascii="Times New Roman" w:eastAsia="Times New Roman" w:hAnsi="Times New Roman" w:cs="Times New Roman"/>
            <w:caps/>
            <w:color w:val="006FB7"/>
            <w:sz w:val="17"/>
            <w:lang w:eastAsia="es-PE"/>
          </w:rPr>
          <w:t>SAT</w:t>
        </w:r>
      </w:hyperlink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 </w:t>
      </w:r>
      <w:hyperlink r:id="rId16" w:tgtFrame="_self" w:history="1">
        <w:r w:rsidRPr="00047266">
          <w:rPr>
            <w:rFonts w:ascii="Times New Roman" w:eastAsia="Times New Roman" w:hAnsi="Times New Roman" w:cs="Times New Roman"/>
            <w:caps/>
            <w:color w:val="006FB7"/>
            <w:sz w:val="17"/>
            <w:lang w:eastAsia="es-PE"/>
          </w:rPr>
          <w:t>FICHAS TEMÁTICAS</w:t>
        </w:r>
      </w:hyperlink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 </w:t>
      </w:r>
      <w:hyperlink r:id="rId17" w:tgtFrame="_self" w:tooltip="Estímulos fiscales para patrones que contraten a adultos mayores y personas con discapacidad" w:history="1">
        <w:r w:rsidRPr="00047266">
          <w:rPr>
            <w:rFonts w:ascii="Times New Roman" w:eastAsia="Times New Roman" w:hAnsi="Times New Roman" w:cs="Times New Roman"/>
            <w:caps/>
            <w:color w:val="006FB7"/>
            <w:sz w:val="17"/>
            <w:lang w:eastAsia="es-PE"/>
          </w:rPr>
          <w:t>ESTÍMULOS FISCALES PARA PATRONES QUE CONTRATEN A ADULTOS MAYORES Y PERSONAS CON DISCAPACIDAD</w:t>
        </w:r>
      </w:hyperlink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szCs w:val="17"/>
          <w:lang w:eastAsia="es-PE"/>
        </w:rPr>
        <w:t>&gt;</w:t>
      </w:r>
      <w:r w:rsidRPr="00047266">
        <w:rPr>
          <w:rFonts w:ascii="Times New Roman" w:eastAsia="Times New Roman" w:hAnsi="Times New Roman" w:cs="Times New Roman"/>
          <w:caps/>
          <w:color w:val="D92B12"/>
          <w:sz w:val="17"/>
          <w:lang w:eastAsia="es-PE"/>
        </w:rPr>
        <w:t>COMPARATIVO DEL ARTÍCULO 186 DE LA LISR Y DEL DECRETO DEL 26 DE DICIEMBRE DE 2013</w:t>
      </w:r>
    </w:p>
    <w:p w:rsidR="00047266" w:rsidRPr="00047266" w:rsidRDefault="00047266" w:rsidP="00047266">
      <w:pPr>
        <w:jc w:val="left"/>
        <w:rPr>
          <w:rFonts w:ascii="Times New Roman" w:eastAsia="Times New Roman" w:hAnsi="Times New Roman" w:cs="Times New Roman"/>
          <w:sz w:val="17"/>
          <w:szCs w:val="17"/>
          <w:lang w:eastAsia="es-PE"/>
        </w:rPr>
      </w:pP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1" name="Imagen 1" descr="Fuente Peque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ente Pequeñ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2" name="Imagen 2" descr="Fuente Med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ente Media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es-PE"/>
        </w:rPr>
        <w:drawing>
          <wp:inline distT="0" distB="0" distL="0" distR="0">
            <wp:extent cx="228600" cy="228600"/>
            <wp:effectExtent l="19050" t="0" r="0" b="0"/>
            <wp:docPr id="3" name="Imagen 3" descr="Fuente Gra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ente Grand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                 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hyperlink r:id="rId18" w:tgtFrame="_self" w:tooltip="Imprimir" w:history="1">
        <w:r>
          <w:rPr>
            <w:rFonts w:ascii="Times New Roman" w:eastAsia="Times New Roman" w:hAnsi="Times New Roman" w:cs="Times New Roman"/>
            <w:noProof/>
            <w:color w:val="006FB7"/>
            <w:sz w:val="17"/>
            <w:szCs w:val="17"/>
            <w:lang w:eastAsia="es-PE"/>
          </w:rPr>
          <w:drawing>
            <wp:inline distT="0" distB="0" distL="0" distR="0">
              <wp:extent cx="142875" cy="180975"/>
              <wp:effectExtent l="19050" t="0" r="9525" b="0"/>
              <wp:docPr id="4" name="Imagen 4" descr="Imprimir">
                <a:hlinkClick xmlns:a="http://schemas.openxmlformats.org/drawingml/2006/main" r:id="rId18" tgtFrame="&quot;_self&quot;" tooltip="&quot;Imprimir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Imprimir">
                        <a:hlinkClick r:id="rId18" tgtFrame="&quot;_self&quot;" tooltip="&quot;Imprimir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047266">
          <w:rPr>
            <w:rFonts w:ascii="Times New Roman" w:eastAsia="Times New Roman" w:hAnsi="Times New Roman" w:cs="Times New Roman"/>
            <w:color w:val="006FB7"/>
            <w:sz w:val="17"/>
            <w:lang w:eastAsia="es-PE"/>
          </w:rPr>
          <w:t>  Imprimir</w:t>
        </w:r>
      </w:hyperlink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           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>
        <w:rPr>
          <w:rFonts w:ascii="Times New Roman" w:eastAsia="Times New Roman" w:hAnsi="Times New Roman" w:cs="Times New Roman"/>
          <w:noProof/>
          <w:color w:val="006FB7"/>
          <w:sz w:val="17"/>
          <w:szCs w:val="17"/>
          <w:lang w:eastAsia="es-PE"/>
        </w:rPr>
        <w:drawing>
          <wp:inline distT="0" distB="0" distL="0" distR="0">
            <wp:extent cx="238125" cy="190500"/>
            <wp:effectExtent l="0" t="0" r="0" b="0"/>
            <wp:docPr id="5" name="Imagen 5" descr="http://www.sat.gob.mx/PublishingImages/24x24_facebook.png">
              <a:hlinkClick xmlns:a="http://schemas.openxmlformats.org/drawingml/2006/main" r:id="rId13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at.gob.mx/PublishingImages/24x24_facebook.png">
                      <a:hlinkClick r:id="rId13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  <w:r w:rsidRPr="00047266">
        <w:rPr>
          <w:rFonts w:ascii="Times New Roman" w:eastAsia="Times New Roman" w:hAnsi="Times New Roman" w:cs="Times New Roman"/>
          <w:sz w:val="17"/>
          <w:szCs w:val="17"/>
          <w:lang w:eastAsia="es-PE"/>
        </w:rPr>
        <w:t>      </w:t>
      </w:r>
      <w:r w:rsidRPr="00047266">
        <w:rPr>
          <w:rFonts w:ascii="Times New Roman" w:eastAsia="Times New Roman" w:hAnsi="Times New Roman" w:cs="Times New Roman"/>
          <w:sz w:val="17"/>
          <w:lang w:eastAsia="es-PE"/>
        </w:rPr>
        <w:t> </w:t>
      </w:r>
    </w:p>
    <w:p w:rsidR="00047266" w:rsidRPr="00047266" w:rsidRDefault="00047266" w:rsidP="00047266">
      <w:pPr>
        <w:jc w:val="left"/>
        <w:rPr>
          <w:rFonts w:ascii="Times New Roman" w:eastAsia="Times New Roman" w:hAnsi="Times New Roman" w:cs="Times New Roman"/>
          <w:caps/>
          <w:color w:val="006FB7"/>
          <w:sz w:val="26"/>
          <w:szCs w:val="26"/>
          <w:lang w:eastAsia="es-PE"/>
        </w:rPr>
      </w:pPr>
      <w:r w:rsidRPr="00047266">
        <w:rPr>
          <w:rFonts w:ascii="Times New Roman" w:eastAsia="Times New Roman" w:hAnsi="Times New Roman" w:cs="Times New Roman"/>
          <w:caps/>
          <w:color w:val="006FB7"/>
          <w:sz w:val="26"/>
          <w:szCs w:val="26"/>
          <w:lang w:eastAsia="es-PE"/>
        </w:rPr>
        <w:t>COMPARATIVO DEL ARTÍCULO 186 DE LA LISR Y DEL DECRETO DEL 26 DE DICIEMBRE DE 2013</w:t>
      </w:r>
    </w:p>
    <w:tbl>
      <w:tblPr>
        <w:tblW w:w="5100" w:type="pct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81"/>
        <w:gridCol w:w="2261"/>
        <w:gridCol w:w="2080"/>
        <w:gridCol w:w="2623"/>
      </w:tblGrid>
      <w:tr w:rsidR="00047266" w:rsidRPr="00047266" w:rsidTr="00047266">
        <w:tc>
          <w:tcPr>
            <w:tcW w:w="24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Artículo 186</w:t>
            </w:r>
          </w:p>
        </w:tc>
        <w:tc>
          <w:tcPr>
            <w:tcW w:w="26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Decreto 26 de diciembre 2013</w:t>
            </w:r>
          </w:p>
        </w:tc>
      </w:tr>
      <w:tr w:rsidR="00047266" w:rsidRPr="00047266" w:rsidTr="00047266">
        <w:tc>
          <w:tcPr>
            <w:tcW w:w="24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Deducción de 100% del ISR retenido a las personas citadas</w:t>
            </w:r>
          </w:p>
        </w:tc>
        <w:tc>
          <w:tcPr>
            <w:tcW w:w="26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Deducción adicional de 25% de los pagos efectuados a personas:</w:t>
            </w:r>
          </w:p>
        </w:tc>
      </w:tr>
      <w:tr w:rsidR="00047266" w:rsidRPr="00047266" w:rsidTr="00047266"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Sueldo</w:t>
            </w:r>
          </w:p>
        </w:tc>
        <w:tc>
          <w:tcPr>
            <w:tcW w:w="12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8,000.00</w:t>
            </w:r>
          </w:p>
        </w:tc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Sueldo</w:t>
            </w:r>
          </w:p>
        </w:tc>
        <w:tc>
          <w:tcPr>
            <w:tcW w:w="14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8,000.00</w:t>
            </w:r>
          </w:p>
        </w:tc>
      </w:tr>
      <w:tr w:rsidR="00047266" w:rsidRPr="00047266" w:rsidTr="00047266"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Retención del ISR</w:t>
            </w:r>
          </w:p>
        </w:tc>
        <w:tc>
          <w:tcPr>
            <w:tcW w:w="12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690.30</w:t>
            </w:r>
          </w:p>
        </w:tc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25% del sueldo     </w:t>
            </w:r>
          </w:p>
        </w:tc>
        <w:tc>
          <w:tcPr>
            <w:tcW w:w="14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2,000.00</w:t>
            </w:r>
          </w:p>
        </w:tc>
      </w:tr>
      <w:tr w:rsidR="00047266" w:rsidRPr="00047266" w:rsidTr="00047266"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Deducción a aplicar conforme al artículo 186 de LISR</w:t>
            </w:r>
          </w:p>
        </w:tc>
        <w:tc>
          <w:tcPr>
            <w:tcW w:w="12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690.30</w:t>
            </w:r>
          </w:p>
        </w:tc>
        <w:tc>
          <w:tcPr>
            <w:tcW w:w="115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Deducción a aplicar conforme al Decreto del 26 de diciembre de 2013</w:t>
            </w:r>
          </w:p>
        </w:tc>
        <w:tc>
          <w:tcPr>
            <w:tcW w:w="14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7266" w:rsidRPr="00047266" w:rsidRDefault="00047266" w:rsidP="00047266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es-PE"/>
              </w:rPr>
            </w:pPr>
            <w:r w:rsidRPr="00047266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  <w:r w:rsidRPr="00047266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2,000.00</w:t>
            </w:r>
          </w:p>
        </w:tc>
      </w:tr>
    </w:tbl>
    <w:p w:rsidR="00030FBD" w:rsidRDefault="00030FBD"/>
    <w:sectPr w:rsidR="00030FBD" w:rsidSect="00030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E57DC"/>
    <w:multiLevelType w:val="multilevel"/>
    <w:tmpl w:val="6374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1209C7"/>
    <w:multiLevelType w:val="multilevel"/>
    <w:tmpl w:val="AF10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7266"/>
    <w:rsid w:val="00030FBD"/>
    <w:rsid w:val="00047266"/>
    <w:rsid w:val="00524E8E"/>
    <w:rsid w:val="006C6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s-PE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7266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047266"/>
  </w:style>
  <w:style w:type="character" w:customStyle="1" w:styleId="breadcrumbcurrentnode">
    <w:name w:val="breadcrumbcurrentnode"/>
    <w:basedOn w:val="Fuentedeprrafopredeter"/>
    <w:rsid w:val="00047266"/>
  </w:style>
  <w:style w:type="character" w:customStyle="1" w:styleId="my-rtestyle-bold">
    <w:name w:val="my-rtestyle-bold"/>
    <w:basedOn w:val="Fuentedeprrafopredeter"/>
    <w:rsid w:val="00047266"/>
  </w:style>
  <w:style w:type="paragraph" w:styleId="Textodeglobo">
    <w:name w:val="Balloon Text"/>
    <w:basedOn w:val="Normal"/>
    <w:link w:val="TextodegloboCar"/>
    <w:uiPriority w:val="99"/>
    <w:semiHidden/>
    <w:unhideWhenUsed/>
    <w:rsid w:val="000472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3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24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91672">
          <w:marLeft w:val="0"/>
          <w:marRight w:val="0"/>
          <w:marTop w:val="0"/>
          <w:marBottom w:val="120"/>
          <w:divBdr>
            <w:top w:val="none" w:sz="0" w:space="0" w:color="E4E3E3"/>
            <w:left w:val="single" w:sz="12" w:space="4" w:color="E4E3E3"/>
            <w:bottom w:val="none" w:sz="0" w:space="0" w:color="E4E3E3"/>
            <w:right w:val="none" w:sz="0" w:space="0" w:color="E4E3E3"/>
          </w:divBdr>
        </w:div>
        <w:div w:id="79183062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4581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7836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07303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740645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235905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3067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15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78371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52008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11865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0555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3268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18338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4427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0364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32367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4197">
                  <w:marLeft w:val="113"/>
                  <w:marRight w:val="113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8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30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8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8866">
          <w:marLeft w:val="0"/>
          <w:marRight w:val="0"/>
          <w:marTop w:val="0"/>
          <w:marBottom w:val="120"/>
          <w:divBdr>
            <w:top w:val="none" w:sz="0" w:space="0" w:color="E4E3E3"/>
            <w:left w:val="single" w:sz="12" w:space="4" w:color="E4E3E3"/>
            <w:bottom w:val="none" w:sz="0" w:space="0" w:color="E4E3E3"/>
            <w:right w:val="none" w:sz="0" w:space="0" w:color="E4E3E3"/>
          </w:divBdr>
        </w:div>
        <w:div w:id="5406283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7258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6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facebook.com/sharer.php?u=http://www.sat.gob.mx" TargetMode="External"/><Relationship Id="rId18" Type="http://schemas.openxmlformats.org/officeDocument/2006/relationships/hyperlink" Target="http://www.sat.gob.mx/fichas_tematicas/estimulos_patrones_discapacidad/Paginas/Comparativo_articulo_186_LISR_Decreto_26_diciembre_2013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t.gob.mx/fichas_tematicas/estimulos_patrones_discapacidad/Paginas/default.aspx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sat.gob.mx/fichas_tematicas/estimulos_patrones_discapacidad/Paginas/default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at.gob.mx/fichas_tematicas/Paginas/default.asp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at.gob.mx/fichas_tematicas/Paginas/default.aspx" TargetMode="External"/><Relationship Id="rId11" Type="http://schemas.openxmlformats.org/officeDocument/2006/relationships/hyperlink" Target="http://www.sat.gob.mx/fichas_tematicas/estimulos_patrones_discapacidad/Paginas/deduccion_adicional.aspx" TargetMode="External"/><Relationship Id="rId5" Type="http://schemas.openxmlformats.org/officeDocument/2006/relationships/hyperlink" Target="http://www.sat.gob.mx/Paginas/Inicio.aspx" TargetMode="External"/><Relationship Id="rId15" Type="http://schemas.openxmlformats.org/officeDocument/2006/relationships/hyperlink" Target="http://www.sat.gob.mx/Paginas/Inicio.aspx" TargetMode="External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520</Words>
  <Characters>2865</Characters>
  <Application>Microsoft Office Word</Application>
  <DocSecurity>0</DocSecurity>
  <Lines>23</Lines>
  <Paragraphs>6</Paragraphs>
  <ScaleCrop>false</ScaleCrop>
  <Company>RevolucionUnattended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</dc:creator>
  <cp:keywords/>
  <dc:description/>
  <cp:lastModifiedBy>MATEO</cp:lastModifiedBy>
  <cp:revision>1</cp:revision>
  <dcterms:created xsi:type="dcterms:W3CDTF">2014-08-04T18:50:00Z</dcterms:created>
  <dcterms:modified xsi:type="dcterms:W3CDTF">2014-08-04T18:55:00Z</dcterms:modified>
</cp:coreProperties>
</file>